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rPr>
          <w:rFonts w:hint="default" w:ascii="宋体" w:eastAsia="宋体"/>
          <w:color w:val="auto"/>
          <w:lang w:val="en-US" w:eastAsia="zh-CN"/>
        </w:rPr>
      </w:pPr>
      <w:bookmarkStart w:id="0" w:name="_bookmark103"/>
      <w:bookmarkEnd w:id="0"/>
      <w:bookmarkStart w:id="1" w:name="_bookmark145"/>
      <w:bookmarkEnd w:id="1"/>
      <w:bookmarkStart w:id="2" w:name="_bookmark123"/>
      <w:bookmarkEnd w:id="2"/>
      <w:bookmarkStart w:id="3" w:name="_bookmark100"/>
      <w:bookmarkEnd w:id="3"/>
      <w:bookmarkStart w:id="4" w:name="_bookmark118"/>
      <w:bookmarkEnd w:id="4"/>
      <w:bookmarkStart w:id="5" w:name="_bookmark167"/>
      <w:bookmarkEnd w:id="5"/>
      <w:bookmarkStart w:id="6" w:name="_bookmark174"/>
      <w:bookmarkEnd w:id="6"/>
      <w:bookmarkStart w:id="7" w:name="_bookmark135"/>
      <w:bookmarkEnd w:id="7"/>
      <w:bookmarkStart w:id="8" w:name="_bookmark124"/>
      <w:bookmarkEnd w:id="8"/>
      <w:bookmarkStart w:id="9" w:name="_bookmark129"/>
      <w:bookmarkEnd w:id="9"/>
      <w:bookmarkStart w:id="10" w:name="_bookmark119"/>
      <w:bookmarkEnd w:id="10"/>
      <w:bookmarkStart w:id="11" w:name="_bookmark155"/>
      <w:bookmarkEnd w:id="11"/>
      <w:bookmarkStart w:id="12" w:name="_bookmark166"/>
      <w:bookmarkEnd w:id="12"/>
      <w:bookmarkStart w:id="13" w:name="_bookmark134"/>
      <w:bookmarkEnd w:id="13"/>
      <w:bookmarkStart w:id="14" w:name="_bookmark126"/>
      <w:bookmarkEnd w:id="14"/>
      <w:bookmarkStart w:id="15" w:name="_bookmark170"/>
      <w:bookmarkEnd w:id="15"/>
      <w:bookmarkStart w:id="16" w:name="_bookmark128"/>
      <w:bookmarkEnd w:id="16"/>
      <w:bookmarkStart w:id="17" w:name="_bookmark114"/>
      <w:bookmarkEnd w:id="17"/>
      <w:bookmarkStart w:id="18" w:name="_bookmark149"/>
      <w:bookmarkEnd w:id="18"/>
      <w:bookmarkStart w:id="19" w:name="_bookmark173"/>
      <w:bookmarkEnd w:id="19"/>
      <w:bookmarkStart w:id="20" w:name="_bookmark137"/>
      <w:bookmarkEnd w:id="20"/>
      <w:bookmarkStart w:id="21" w:name="_bookmark127"/>
      <w:bookmarkEnd w:id="21"/>
      <w:bookmarkStart w:id="22" w:name="_bookmark157"/>
      <w:bookmarkEnd w:id="22"/>
      <w:bookmarkStart w:id="23" w:name="_bookmark131"/>
      <w:bookmarkEnd w:id="23"/>
      <w:bookmarkStart w:id="24" w:name="_bookmark172"/>
      <w:bookmarkEnd w:id="24"/>
      <w:bookmarkStart w:id="25" w:name="_bookmark116"/>
      <w:bookmarkEnd w:id="25"/>
      <w:bookmarkStart w:id="26" w:name="_bookmark136"/>
      <w:bookmarkEnd w:id="26"/>
      <w:bookmarkStart w:id="27" w:name="_bookmark143"/>
      <w:bookmarkEnd w:id="27"/>
      <w:bookmarkStart w:id="28" w:name="_bookmark132"/>
      <w:bookmarkEnd w:id="28"/>
      <w:bookmarkStart w:id="29" w:name="_bookmark102"/>
      <w:bookmarkEnd w:id="29"/>
      <w:bookmarkStart w:id="30" w:name="_bookmark153"/>
      <w:bookmarkEnd w:id="30"/>
      <w:bookmarkStart w:id="31" w:name="_bookmark121"/>
      <w:bookmarkEnd w:id="31"/>
      <w:bookmarkStart w:id="32" w:name="_bookmark158"/>
      <w:bookmarkEnd w:id="32"/>
      <w:bookmarkStart w:id="33" w:name="_bookmark107"/>
      <w:bookmarkEnd w:id="33"/>
      <w:bookmarkStart w:id="34" w:name="_bookmark142"/>
      <w:bookmarkEnd w:id="34"/>
      <w:bookmarkStart w:id="35" w:name="_bookmark162"/>
      <w:bookmarkEnd w:id="35"/>
      <w:bookmarkStart w:id="36" w:name="_bookmark169"/>
      <w:bookmarkEnd w:id="36"/>
      <w:bookmarkStart w:id="37" w:name="_bookmark117"/>
      <w:bookmarkEnd w:id="37"/>
      <w:bookmarkStart w:id="38" w:name="_bookmark160"/>
      <w:bookmarkEnd w:id="38"/>
      <w:bookmarkStart w:id="39" w:name="_bookmark141"/>
      <w:bookmarkEnd w:id="39"/>
      <w:bookmarkStart w:id="40" w:name="_bookmark99"/>
      <w:bookmarkEnd w:id="40"/>
      <w:bookmarkStart w:id="41" w:name="_bookmark151"/>
      <w:bookmarkEnd w:id="41"/>
      <w:bookmarkStart w:id="42" w:name="_bookmark108"/>
      <w:bookmarkEnd w:id="42"/>
      <w:bookmarkStart w:id="43" w:name="_bookmark147"/>
      <w:bookmarkEnd w:id="43"/>
      <w:bookmarkStart w:id="44" w:name="_bookmark165"/>
      <w:bookmarkEnd w:id="44"/>
      <w:bookmarkStart w:id="45" w:name="_bookmark130"/>
      <w:bookmarkEnd w:id="45"/>
      <w:bookmarkStart w:id="46" w:name="_bookmark171"/>
      <w:bookmarkEnd w:id="46"/>
      <w:bookmarkStart w:id="47" w:name="_bookmark106"/>
      <w:bookmarkEnd w:id="47"/>
      <w:bookmarkStart w:id="48" w:name="_bookmark98"/>
      <w:bookmarkEnd w:id="48"/>
      <w:bookmarkStart w:id="49" w:name="_bookmark156"/>
      <w:bookmarkEnd w:id="49"/>
      <w:bookmarkStart w:id="50" w:name="_bookmark163"/>
      <w:bookmarkEnd w:id="50"/>
      <w:bookmarkStart w:id="51" w:name="_bookmark146"/>
      <w:bookmarkEnd w:id="51"/>
      <w:bookmarkStart w:id="52" w:name="_bookmark115"/>
      <w:bookmarkEnd w:id="52"/>
      <w:bookmarkStart w:id="53" w:name="_bookmark152"/>
      <w:bookmarkEnd w:id="53"/>
      <w:bookmarkStart w:id="54" w:name="_bookmark111"/>
      <w:bookmarkEnd w:id="54"/>
      <w:bookmarkStart w:id="55" w:name="_bookmark148"/>
      <w:bookmarkEnd w:id="55"/>
      <w:bookmarkStart w:id="56" w:name="_bookmark101"/>
      <w:bookmarkEnd w:id="56"/>
      <w:bookmarkStart w:id="57" w:name="_bookmark138"/>
      <w:bookmarkEnd w:id="57"/>
      <w:bookmarkStart w:id="58" w:name="_bookmark109"/>
      <w:bookmarkEnd w:id="58"/>
      <w:bookmarkStart w:id="59" w:name="_bookmark175"/>
      <w:bookmarkEnd w:id="59"/>
      <w:bookmarkStart w:id="60" w:name="_bookmark110"/>
      <w:bookmarkEnd w:id="60"/>
      <w:bookmarkStart w:id="61" w:name="_bookmark113"/>
      <w:bookmarkEnd w:id="61"/>
      <w:bookmarkStart w:id="62" w:name="_bookmark144"/>
      <w:bookmarkEnd w:id="62"/>
      <w:bookmarkStart w:id="63" w:name="_bookmark150"/>
      <w:bookmarkEnd w:id="63"/>
      <w:bookmarkStart w:id="64" w:name="_bookmark164"/>
      <w:bookmarkEnd w:id="64"/>
      <w:bookmarkStart w:id="65" w:name="_bookmark125"/>
      <w:bookmarkEnd w:id="65"/>
      <w:bookmarkStart w:id="66" w:name="_bookmark104"/>
      <w:bookmarkEnd w:id="66"/>
      <w:bookmarkStart w:id="67" w:name="_bookmark161"/>
      <w:bookmarkEnd w:id="67"/>
      <w:bookmarkStart w:id="68" w:name="_bookmark120"/>
      <w:bookmarkEnd w:id="68"/>
      <w:bookmarkStart w:id="69" w:name="_bookmark168"/>
      <w:bookmarkEnd w:id="69"/>
      <w:bookmarkStart w:id="70" w:name="_bookmark133"/>
      <w:bookmarkEnd w:id="70"/>
      <w:bookmarkStart w:id="71" w:name="_bookmark122"/>
      <w:bookmarkEnd w:id="71"/>
      <w:bookmarkStart w:id="72" w:name="_bookmark159"/>
      <w:bookmarkEnd w:id="72"/>
      <w:bookmarkStart w:id="73" w:name="_bookmark140"/>
      <w:bookmarkEnd w:id="73"/>
      <w:bookmarkStart w:id="74" w:name="_bookmark112"/>
      <w:bookmarkEnd w:id="74"/>
      <w:bookmarkStart w:id="75" w:name="_bookmark154"/>
      <w:bookmarkEnd w:id="75"/>
      <w:bookmarkStart w:id="76" w:name="_Toc152045786"/>
      <w:bookmarkStart w:id="77" w:name="_Toc144974855"/>
      <w:bookmarkStart w:id="78" w:name="_Toc300835207"/>
      <w:bookmarkStart w:id="79" w:name="_Toc247527825"/>
      <w:bookmarkStart w:id="80" w:name="_Toc247514244"/>
      <w:bookmarkStart w:id="81" w:name="_Toc152042575"/>
    </w:p>
    <w:p>
      <w:pPr>
        <w:snapToGrid w:val="0"/>
        <w:spacing w:line="440" w:lineRule="atLeast"/>
        <w:rPr>
          <w:rFonts w:ascii="宋体"/>
          <w:color w:val="auto"/>
        </w:rPr>
      </w:pPr>
    </w:p>
    <w:p>
      <w:pPr>
        <w:snapToGrid w:val="0"/>
        <w:spacing w:line="440" w:lineRule="atLeast"/>
        <w:rPr>
          <w:rFonts w:ascii="宋体"/>
          <w:color w:val="auto"/>
        </w:rPr>
      </w:pPr>
    </w:p>
    <w:p>
      <w:pPr>
        <w:snapToGrid w:val="0"/>
        <w:spacing w:line="440" w:lineRule="atLeast"/>
        <w:jc w:val="center"/>
        <w:outlineLvl w:val="0"/>
        <w:rPr>
          <w:rFonts w:ascii="宋体"/>
          <w:color w:val="auto"/>
          <w:sz w:val="44"/>
        </w:rPr>
      </w:pPr>
      <w:r>
        <w:rPr>
          <w:rFonts w:hint="eastAsia" w:ascii="宋体"/>
          <w:b/>
          <w:bCs/>
          <w:color w:val="auto"/>
          <w:sz w:val="44"/>
          <w:lang w:eastAsia="zh-CN"/>
        </w:rPr>
        <w:t>委</w:t>
      </w:r>
      <w:r>
        <w:rPr>
          <w:rFonts w:hint="eastAsia" w:ascii="宋体"/>
          <w:b/>
          <w:bCs/>
          <w:color w:val="auto"/>
          <w:sz w:val="44"/>
          <w:lang w:val="en-US" w:eastAsia="zh-CN"/>
        </w:rPr>
        <w:t xml:space="preserve">  </w:t>
      </w:r>
      <w:r>
        <w:rPr>
          <w:rFonts w:hint="eastAsia" w:ascii="宋体"/>
          <w:b/>
          <w:bCs/>
          <w:color w:val="auto"/>
          <w:sz w:val="44"/>
          <w:lang w:eastAsia="zh-CN"/>
        </w:rPr>
        <w:t>托</w:t>
      </w:r>
      <w:r>
        <w:rPr>
          <w:rFonts w:hint="eastAsia" w:ascii="宋体"/>
          <w:b/>
          <w:bCs/>
          <w:color w:val="auto"/>
          <w:sz w:val="44"/>
          <w:lang w:val="en-US" w:eastAsia="zh-CN"/>
        </w:rPr>
        <w:t xml:space="preserve">  </w:t>
      </w:r>
      <w:r>
        <w:rPr>
          <w:rFonts w:hint="eastAsia" w:ascii="宋体"/>
          <w:b/>
          <w:bCs/>
          <w:color w:val="auto"/>
          <w:sz w:val="44"/>
        </w:rPr>
        <w:t xml:space="preserve">  合  同</w:t>
      </w:r>
    </w:p>
    <w:p>
      <w:pPr>
        <w:snapToGrid w:val="0"/>
        <w:spacing w:line="440" w:lineRule="atLeast"/>
        <w:jc w:val="center"/>
        <w:outlineLvl w:val="0"/>
        <w:rPr>
          <w:rFonts w:ascii="宋体"/>
          <w:color w:val="auto"/>
          <w:sz w:val="28"/>
        </w:rPr>
      </w:pPr>
    </w:p>
    <w:p>
      <w:pPr>
        <w:snapToGrid w:val="0"/>
        <w:spacing w:line="440" w:lineRule="atLeast"/>
        <w:jc w:val="center"/>
        <w:rPr>
          <w:rFonts w:ascii="宋体"/>
          <w:color w:val="auto"/>
          <w:sz w:val="28"/>
        </w:rPr>
      </w:pPr>
    </w:p>
    <w:p>
      <w:pPr>
        <w:snapToGrid w:val="0"/>
        <w:spacing w:line="440" w:lineRule="atLeast"/>
        <w:rPr>
          <w:rFonts w:ascii="宋体"/>
          <w:color w:val="auto"/>
          <w:sz w:val="28"/>
        </w:rPr>
      </w:pPr>
    </w:p>
    <w:p>
      <w:pPr>
        <w:tabs>
          <w:tab w:val="left" w:pos="1134"/>
          <w:tab w:val="left" w:pos="5481"/>
          <w:tab w:val="left" w:pos="5859"/>
        </w:tabs>
        <w:spacing w:line="580" w:lineRule="atLeast"/>
        <w:rPr>
          <w:rFonts w:hint="eastAsia" w:ascii="宋体" w:hAnsi="宋体" w:cs="Times New Roman"/>
          <w:color w:val="auto"/>
          <w:sz w:val="24"/>
          <w:szCs w:val="24"/>
          <w:highlight w:val="none"/>
          <w:u w:val="single"/>
          <w:lang w:val="en-US" w:eastAsia="zh-CN"/>
        </w:rPr>
      </w:pPr>
      <w:r>
        <w:rPr>
          <w:rFonts w:hint="eastAsia" w:ascii="宋体"/>
          <w:color w:val="auto"/>
          <w:sz w:val="28"/>
        </w:rPr>
        <w:t>项目名称</w:t>
      </w:r>
      <w:r>
        <w:rPr>
          <w:rFonts w:hint="eastAsia" w:ascii="宋体"/>
          <w:color w:val="auto"/>
          <w:sz w:val="28"/>
          <w:lang w:eastAsia="zh-CN"/>
        </w:rPr>
        <w:t>：</w:t>
      </w:r>
      <w:r>
        <w:rPr>
          <w:rFonts w:hint="eastAsia" w:ascii="宋体" w:hAnsi="宋体" w:cs="Times New Roman"/>
          <w:color w:val="auto"/>
          <w:sz w:val="24"/>
          <w:szCs w:val="24"/>
          <w:highlight w:val="none"/>
          <w:u w:val="single"/>
          <w:lang w:val="en-US" w:eastAsia="zh-CN"/>
        </w:rPr>
        <w:t>哈密市和翔工贸有限责任公司巴别斯库都克露天煤矿</w:t>
      </w:r>
    </w:p>
    <w:p>
      <w:pPr>
        <w:tabs>
          <w:tab w:val="left" w:pos="1134"/>
          <w:tab w:val="left" w:pos="5481"/>
          <w:tab w:val="left" w:pos="5859"/>
        </w:tabs>
        <w:spacing w:line="580" w:lineRule="atLeast"/>
        <w:ind w:firstLine="1440" w:firstLineChars="600"/>
        <w:rPr>
          <w:rFonts w:hint="default" w:ascii="宋体" w:hAnsi="宋体" w:cs="Times New Roman"/>
          <w:color w:val="auto"/>
          <w:sz w:val="24"/>
          <w:szCs w:val="24"/>
          <w:highlight w:val="none"/>
          <w:u w:val="single"/>
          <w:lang w:val="en-US" w:eastAsia="zh-CN"/>
        </w:rPr>
      </w:pPr>
      <w:r>
        <w:rPr>
          <w:rFonts w:hint="eastAsia" w:ascii="宋体" w:hAnsi="宋体" w:cs="Times New Roman"/>
          <w:color w:val="auto"/>
          <w:sz w:val="24"/>
          <w:szCs w:val="24"/>
          <w:highlight w:val="none"/>
          <w:u w:val="single"/>
          <w:lang w:val="en-US" w:eastAsia="zh-CN"/>
        </w:rPr>
        <w:t>《安全现状评价报告》（2.0Mt/a）编制项目</w:t>
      </w:r>
    </w:p>
    <w:p>
      <w:pPr>
        <w:tabs>
          <w:tab w:val="left" w:pos="1134"/>
          <w:tab w:val="left" w:pos="5481"/>
          <w:tab w:val="left" w:pos="5859"/>
        </w:tabs>
        <w:spacing w:line="580" w:lineRule="atLeast"/>
        <w:ind w:firstLine="1405" w:firstLineChars="500"/>
        <w:rPr>
          <w:rFonts w:hint="default" w:ascii="宋体" w:hAnsi="宋体" w:eastAsia="宋体"/>
          <w:b/>
          <w:bCs/>
          <w:color w:val="auto"/>
          <w:sz w:val="28"/>
          <w:szCs w:val="28"/>
          <w:u w:val="single"/>
          <w:lang w:val="en-US" w:eastAsia="zh-CN"/>
        </w:rPr>
      </w:pPr>
    </w:p>
    <w:p>
      <w:pPr>
        <w:snapToGrid w:val="0"/>
        <w:spacing w:line="440" w:lineRule="atLeast"/>
        <w:rPr>
          <w:rFonts w:hint="default" w:ascii="宋体" w:eastAsia="宋体"/>
          <w:color w:val="auto"/>
          <w:sz w:val="28"/>
          <w:lang w:val="en-US" w:eastAsia="zh-CN"/>
        </w:rPr>
      </w:pPr>
      <w:r>
        <w:rPr>
          <w:rFonts w:hint="eastAsia" w:ascii="宋体"/>
          <w:color w:val="auto"/>
          <w:sz w:val="28"/>
          <w:lang w:val="en-US" w:eastAsia="zh-CN"/>
        </w:rPr>
        <w:t xml:space="preserve">  </w:t>
      </w:r>
    </w:p>
    <w:p>
      <w:pPr>
        <w:snapToGrid w:val="0"/>
        <w:spacing w:line="440" w:lineRule="atLeast"/>
        <w:ind w:left="2240" w:hanging="2240" w:hangingChars="800"/>
        <w:rPr>
          <w:rFonts w:hint="eastAsia" w:ascii="宋体"/>
          <w:color w:val="auto"/>
          <w:sz w:val="28"/>
        </w:rPr>
      </w:pPr>
      <w:r>
        <w:rPr>
          <w:rFonts w:hint="eastAsia" w:ascii="宋体"/>
          <w:color w:val="auto"/>
          <w:sz w:val="28"/>
        </w:rPr>
        <w:t>委托人（甲方）：</w:t>
      </w:r>
      <w:r>
        <w:rPr>
          <w:rFonts w:hint="eastAsia" w:ascii="宋体"/>
          <w:color w:val="auto"/>
          <w:sz w:val="28"/>
          <w:u w:val="single"/>
          <w:lang w:val="en-US" w:eastAsia="zh-CN"/>
        </w:rPr>
        <w:t>哈密市和翔工贸有限责任公司巴里坤矿区别斯库都克露天煤矿</w:t>
      </w:r>
    </w:p>
    <w:p>
      <w:pPr>
        <w:snapToGrid w:val="0"/>
        <w:spacing w:line="440" w:lineRule="atLeast"/>
        <w:rPr>
          <w:rFonts w:hint="eastAsia" w:ascii="宋体"/>
          <w:color w:val="auto"/>
          <w:sz w:val="28"/>
        </w:rPr>
      </w:pPr>
    </w:p>
    <w:p>
      <w:pPr>
        <w:snapToGrid w:val="0"/>
        <w:spacing w:line="440" w:lineRule="atLeast"/>
        <w:rPr>
          <w:rFonts w:hint="eastAsia" w:ascii="宋体"/>
          <w:color w:val="auto"/>
          <w:sz w:val="28"/>
        </w:rPr>
      </w:pPr>
    </w:p>
    <w:p>
      <w:pPr>
        <w:snapToGrid w:val="0"/>
        <w:spacing w:line="440" w:lineRule="atLeast"/>
        <w:rPr>
          <w:rFonts w:hint="default" w:ascii="宋体" w:eastAsia="宋体"/>
          <w:color w:val="auto"/>
          <w:sz w:val="28"/>
          <w:u w:val="single"/>
          <w:lang w:val="en-US" w:eastAsia="zh-CN"/>
        </w:rPr>
      </w:pPr>
      <w:r>
        <w:rPr>
          <w:rFonts w:hint="eastAsia" w:ascii="宋体"/>
          <w:color w:val="auto"/>
          <w:sz w:val="28"/>
        </w:rPr>
        <w:t>受托人（乙方）：</w:t>
      </w:r>
      <w:r>
        <w:rPr>
          <w:rFonts w:hint="eastAsia" w:ascii="宋体"/>
          <w:color w:val="auto"/>
          <w:sz w:val="28"/>
          <w:u w:val="single"/>
          <w:lang w:val="en-US" w:eastAsia="zh-CN"/>
        </w:rPr>
        <w:t xml:space="preserve"> 中皓安环科技有限公司      </w:t>
      </w:r>
    </w:p>
    <w:p>
      <w:pPr>
        <w:snapToGrid w:val="0"/>
        <w:spacing w:line="440" w:lineRule="atLeast"/>
        <w:ind w:firstLine="1960" w:firstLineChars="700"/>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hint="eastAsia" w:ascii="宋体" w:eastAsia="宋体"/>
          <w:color w:val="auto"/>
          <w:sz w:val="28"/>
          <w:lang w:val="en-US" w:eastAsia="zh-CN"/>
        </w:rPr>
      </w:pPr>
      <w:r>
        <w:rPr>
          <w:rFonts w:hint="eastAsia" w:ascii="宋体"/>
          <w:color w:val="auto"/>
          <w:sz w:val="28"/>
        </w:rPr>
        <w:t>签订地点：</w:t>
      </w:r>
      <w:r>
        <w:rPr>
          <w:rFonts w:hint="eastAsia" w:ascii="宋体"/>
          <w:color w:val="auto"/>
          <w:sz w:val="28"/>
          <w:lang w:eastAsia="zh-CN"/>
        </w:rPr>
        <w:t>哈密市巴里坤县大红柳峡乡</w:t>
      </w:r>
    </w:p>
    <w:p>
      <w:pPr>
        <w:snapToGrid w:val="0"/>
        <w:spacing w:line="440" w:lineRule="atLeast"/>
        <w:rPr>
          <w:rFonts w:ascii="宋体"/>
          <w:color w:val="auto"/>
          <w:sz w:val="28"/>
        </w:rPr>
      </w:pPr>
    </w:p>
    <w:p>
      <w:pPr>
        <w:snapToGrid w:val="0"/>
        <w:spacing w:line="440" w:lineRule="atLeast"/>
        <w:rPr>
          <w:rFonts w:ascii="宋体"/>
          <w:color w:val="auto"/>
          <w:sz w:val="28"/>
        </w:rPr>
      </w:pPr>
      <w:r>
        <w:rPr>
          <w:rFonts w:hint="eastAsia" w:ascii="宋体"/>
          <w:color w:val="auto"/>
          <w:sz w:val="28"/>
        </w:rPr>
        <w:t>签订日期：</w:t>
      </w:r>
      <w:r>
        <w:rPr>
          <w:rFonts w:hint="eastAsia" w:ascii="宋体"/>
          <w:color w:val="auto"/>
          <w:sz w:val="28"/>
          <w:lang w:val="en-US" w:eastAsia="zh-CN"/>
        </w:rPr>
        <w:t xml:space="preserve">    年   月     日</w:t>
      </w:r>
    </w:p>
    <w:p>
      <w:pPr>
        <w:snapToGrid w:val="0"/>
        <w:spacing w:line="440" w:lineRule="atLeast"/>
        <w:rPr>
          <w:rFonts w:ascii="宋体"/>
          <w:color w:val="auto"/>
          <w:sz w:val="28"/>
        </w:rPr>
      </w:pPr>
    </w:p>
    <w:p>
      <w:pPr>
        <w:snapToGrid w:val="0"/>
        <w:spacing w:line="440" w:lineRule="atLeast"/>
        <w:jc w:val="center"/>
        <w:outlineLvl w:val="0"/>
        <w:rPr>
          <w:rFonts w:ascii="宋体"/>
          <w:color w:val="auto"/>
          <w:sz w:val="28"/>
        </w:rPr>
      </w:pPr>
    </w:p>
    <w:tbl>
      <w:tblPr>
        <w:tblStyle w:val="7"/>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8267" w:type="dxa"/>
            <w:gridSpan w:val="5"/>
            <w:noWrap/>
          </w:tcPr>
          <w:p>
            <w:pPr>
              <w:tabs>
                <w:tab w:val="left" w:pos="1134"/>
                <w:tab w:val="left" w:pos="5481"/>
                <w:tab w:val="left" w:pos="5859"/>
              </w:tabs>
              <w:spacing w:line="580" w:lineRule="atLeast"/>
              <w:rPr>
                <w:rFonts w:ascii="宋体"/>
                <w:color w:val="auto"/>
                <w:sz w:val="24"/>
                <w:szCs w:val="22"/>
              </w:rPr>
            </w:pPr>
            <w:r>
              <w:rPr>
                <w:rFonts w:hint="eastAsia" w:ascii="宋体"/>
                <w:color w:val="auto"/>
                <w:sz w:val="24"/>
                <w:szCs w:val="22"/>
              </w:rPr>
              <w:t>根据《中华人民共和国</w:t>
            </w:r>
            <w:r>
              <w:rPr>
                <w:rFonts w:hint="eastAsia" w:ascii="宋体"/>
                <w:color w:val="auto"/>
                <w:sz w:val="24"/>
                <w:szCs w:val="22"/>
                <w:lang w:eastAsia="zh-CN"/>
              </w:rPr>
              <w:t>民法典</w:t>
            </w:r>
            <w:r>
              <w:rPr>
                <w:rFonts w:hint="eastAsia" w:ascii="宋体"/>
                <w:color w:val="auto"/>
                <w:sz w:val="24"/>
                <w:szCs w:val="22"/>
              </w:rPr>
              <w:t>》《</w:t>
            </w:r>
            <w:r>
              <w:rPr>
                <w:rFonts w:hint="eastAsia" w:ascii="宋体"/>
                <w:color w:val="auto"/>
                <w:sz w:val="24"/>
                <w:szCs w:val="22"/>
                <w:lang w:eastAsia="zh-CN"/>
              </w:rPr>
              <w:t>安全生产法</w:t>
            </w:r>
            <w:r>
              <w:rPr>
                <w:rFonts w:hint="eastAsia" w:ascii="宋体"/>
                <w:color w:val="auto"/>
                <w:sz w:val="24"/>
                <w:szCs w:val="22"/>
              </w:rPr>
              <w:t>》《煤矿企业安全生产许可证实施办法》以及国家相关法律法规的规定，甲乙双方</w:t>
            </w:r>
            <w:r>
              <w:rPr>
                <w:rFonts w:hint="eastAsia" w:ascii="宋体"/>
                <w:color w:val="auto"/>
                <w:sz w:val="24"/>
                <w:szCs w:val="22"/>
                <w:u w:val="none"/>
              </w:rPr>
              <w:t>就</w:t>
            </w:r>
            <w:r>
              <w:rPr>
                <w:rFonts w:hint="eastAsia" w:ascii="宋体"/>
                <w:color w:val="auto"/>
                <w:sz w:val="24"/>
                <w:szCs w:val="22"/>
                <w:u w:val="single"/>
              </w:rPr>
              <w:t>哈密市和翔工贸有限责任公司</w:t>
            </w:r>
            <w:bookmarkStart w:id="82" w:name="_GoBack"/>
            <w:bookmarkEnd w:id="82"/>
            <w:r>
              <w:rPr>
                <w:rFonts w:hint="eastAsia" w:ascii="宋体"/>
                <w:color w:val="auto"/>
                <w:sz w:val="24"/>
                <w:szCs w:val="22"/>
                <w:u w:val="single"/>
              </w:rPr>
              <w:t>别斯库都克露天煤矿</w:t>
            </w:r>
            <w:r>
              <w:rPr>
                <w:rFonts w:hint="eastAsia" w:ascii="宋体" w:hAnsi="宋体" w:cs="Times New Roman"/>
                <w:color w:val="auto"/>
                <w:sz w:val="24"/>
                <w:szCs w:val="24"/>
                <w:highlight w:val="none"/>
                <w:u w:val="single"/>
                <w:lang w:val="en-US" w:eastAsia="zh-CN"/>
              </w:rPr>
              <w:t>《安全现状评价报告》（2.0Mt/a）编制</w:t>
            </w:r>
            <w:r>
              <w:rPr>
                <w:rFonts w:hint="eastAsia" w:ascii="宋体"/>
                <w:color w:val="auto"/>
                <w:sz w:val="24"/>
                <w:szCs w:val="22"/>
                <w:u w:val="none"/>
                <w:lang w:val="en-US" w:eastAsia="zh-CN"/>
              </w:rPr>
              <w:t>项</w:t>
            </w:r>
            <w:r>
              <w:rPr>
                <w:rFonts w:hint="eastAsia" w:ascii="宋体"/>
                <w:color w:val="auto"/>
                <w:sz w:val="24"/>
                <w:szCs w:val="22"/>
              </w:rPr>
              <w:t>目，双方经过平等协商，在真实、充分地表达各自意愿的基础上，经双方协商一致，签订本合同，并承诺共同遵守执行</w:t>
            </w:r>
            <w:r>
              <w:rPr>
                <w:rFonts w:hint="eastAsia" w:ascii="宋体" w:hAnsi="宋体"/>
                <w:color w:val="auto"/>
                <w:sz w:val="28"/>
                <w:szCs w:val="28"/>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一、服务内容、方式和要求※</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sz w:val="24"/>
              </w:rPr>
              <w:t>（</w:t>
            </w:r>
            <w:r>
              <w:rPr>
                <w:rFonts w:hint="eastAsia" w:ascii="宋体" w:hAnsi="宋体" w:cs="宋体"/>
                <w:color w:val="auto"/>
                <w:kern w:val="0"/>
                <w:sz w:val="24"/>
                <w:szCs w:val="22"/>
              </w:rPr>
              <w:t>一）服务依据</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1</w:t>
            </w:r>
            <w:r>
              <w:rPr>
                <w:rFonts w:hint="eastAsia" w:ascii="宋体" w:hAnsi="宋体" w:cs="宋体"/>
                <w:color w:val="auto"/>
                <w:kern w:val="0"/>
                <w:sz w:val="24"/>
                <w:szCs w:val="22"/>
              </w:rPr>
              <w:t>.《中华人民共和国安全生产法》；</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2</w:t>
            </w:r>
            <w:r>
              <w:rPr>
                <w:rFonts w:hint="eastAsia" w:ascii="宋体" w:hAnsi="宋体" w:cs="宋体"/>
                <w:color w:val="auto"/>
                <w:kern w:val="0"/>
                <w:sz w:val="24"/>
                <w:szCs w:val="22"/>
              </w:rPr>
              <w:t>.《煤矿企业安全生产许可证实施办法》原国家安全生产监督管理总局令第86号；</w:t>
            </w:r>
          </w:p>
          <w:p>
            <w:pPr>
              <w:adjustRightInd w:val="0"/>
              <w:spacing w:line="500" w:lineRule="exact"/>
              <w:ind w:firstLine="480" w:firstLineChars="200"/>
              <w:textAlignment w:val="baseline"/>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rPr>
              <w:t>3.</w:t>
            </w:r>
            <w:r>
              <w:rPr>
                <w:rFonts w:hint="eastAsia" w:ascii="宋体" w:hAnsi="宋体" w:cs="宋体"/>
                <w:color w:val="auto"/>
                <w:kern w:val="0"/>
                <w:sz w:val="24"/>
                <w:szCs w:val="22"/>
                <w:lang w:eastAsia="zh-CN"/>
              </w:rPr>
              <w:t>《</w:t>
            </w:r>
            <w:r>
              <w:rPr>
                <w:rFonts w:hint="eastAsia" w:cs="宋体"/>
                <w:color w:val="auto"/>
                <w:sz w:val="24"/>
                <w:szCs w:val="24"/>
                <w:shd w:val="clear" w:color="auto" w:fill="auto"/>
              </w:rPr>
              <w:t>安全生产许可证条例</w:t>
            </w:r>
            <w:r>
              <w:rPr>
                <w:rFonts w:hint="eastAsia" w:ascii="宋体" w:hAnsi="宋体" w:cs="宋体"/>
                <w:color w:val="auto"/>
                <w:kern w:val="0"/>
                <w:sz w:val="24"/>
                <w:szCs w:val="22"/>
                <w:lang w:eastAsia="zh-CN"/>
              </w:rPr>
              <w:t>》中华人民共和国国务院令第653号</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4.</w:t>
            </w:r>
            <w:r>
              <w:rPr>
                <w:rFonts w:hint="eastAsia" w:ascii="宋体" w:hAnsi="宋体" w:cs="宋体"/>
                <w:color w:val="auto"/>
                <w:kern w:val="0"/>
                <w:sz w:val="24"/>
                <w:szCs w:val="22"/>
              </w:rPr>
              <w:t>《煤矿安全规程》（应急管理部令第8号；</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5</w:t>
            </w:r>
            <w:r>
              <w:rPr>
                <w:rFonts w:hint="eastAsia" w:ascii="宋体" w:hAnsi="宋体" w:cs="宋体"/>
                <w:color w:val="auto"/>
                <w:kern w:val="0"/>
                <w:sz w:val="24"/>
                <w:szCs w:val="22"/>
              </w:rPr>
              <w:t>.</w:t>
            </w:r>
            <w:r>
              <w:rPr>
                <w:rFonts w:hint="eastAsia" w:ascii="宋体" w:hAnsi="宋体" w:cs="宋体"/>
                <w:color w:val="auto"/>
                <w:kern w:val="0"/>
                <w:sz w:val="24"/>
                <w:szCs w:val="22"/>
                <w:lang w:val="en-US" w:eastAsia="zh-CN"/>
              </w:rPr>
              <w:t xml:space="preserve"> </w:t>
            </w:r>
            <w:r>
              <w:rPr>
                <w:rFonts w:hint="eastAsia" w:ascii="宋体" w:hAnsi="宋体" w:cs="宋体"/>
                <w:color w:val="auto"/>
                <w:kern w:val="0"/>
                <w:sz w:val="24"/>
                <w:szCs w:val="22"/>
              </w:rPr>
              <w:t>国家其它有关法律、法规。</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（二）服务内容</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甲乙双方经协商，乙方为甲方完成以下服务内容：</w:t>
            </w:r>
          </w:p>
          <w:p>
            <w:pPr>
              <w:numPr>
                <w:ilvl w:val="0"/>
                <w:numId w:val="0"/>
              </w:numPr>
              <w:adjustRightInd w:val="0"/>
              <w:spacing w:line="500" w:lineRule="exact"/>
              <w:ind w:firstLine="480" w:firstLineChars="200"/>
              <w:textAlignment w:val="baseline"/>
              <w:rPr>
                <w:rFonts w:hint="eastAsia" w:ascii="宋体" w:hAnsi="宋体" w:cs="宋体"/>
                <w:color w:val="auto"/>
                <w:kern w:val="0"/>
                <w:sz w:val="24"/>
                <w:szCs w:val="22"/>
              </w:rPr>
            </w:pPr>
            <w:r>
              <w:rPr>
                <w:rFonts w:hint="eastAsia" w:ascii="宋体" w:hAnsi="宋体" w:cs="宋体"/>
                <w:color w:val="auto"/>
                <w:kern w:val="0"/>
                <w:sz w:val="24"/>
                <w:szCs w:val="22"/>
                <w:lang w:val="en-US" w:eastAsia="zh-CN"/>
              </w:rPr>
              <w:t>1.进行安全现状综合评价报告编制（（2.0Mt/a））</w:t>
            </w:r>
            <w:r>
              <w:rPr>
                <w:rFonts w:hint="eastAsia" w:ascii="宋体" w:hAnsi="宋体" w:cs="宋体"/>
                <w:color w:val="auto"/>
                <w:kern w:val="0"/>
                <w:sz w:val="24"/>
                <w:szCs w:val="22"/>
                <w:lang w:eastAsia="zh-CN"/>
              </w:rPr>
              <w:t>。</w:t>
            </w:r>
          </w:p>
          <w:p>
            <w:pPr>
              <w:numPr>
                <w:ilvl w:val="0"/>
                <w:numId w:val="0"/>
              </w:num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2.根据相关法律法规及标准规范完成安全现状评价报告评审修改工作</w:t>
            </w:r>
            <w:r>
              <w:rPr>
                <w:rFonts w:hint="eastAsia" w:ascii="宋体" w:hAnsi="宋体" w:cs="宋体"/>
                <w:color w:val="auto"/>
                <w:kern w:val="0"/>
                <w:sz w:val="24"/>
                <w:szCs w:val="22"/>
              </w:rPr>
              <w:t>。</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（三）服务方式</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 xml:space="preserve">乙方向甲方提供一站式服务。即： </w:t>
            </w:r>
            <w:r>
              <w:rPr>
                <w:rFonts w:hint="eastAsia" w:ascii="宋体" w:hAnsi="宋体" w:cs="宋体"/>
                <w:color w:val="auto"/>
                <w:kern w:val="0"/>
                <w:sz w:val="24"/>
                <w:szCs w:val="22"/>
                <w:lang w:val="en-US" w:eastAsia="zh-CN"/>
              </w:rPr>
              <w:t>完成安全现状评价报告编制</w:t>
            </w:r>
            <w:r>
              <w:rPr>
                <w:rFonts w:hint="eastAsia" w:ascii="宋体" w:hAnsi="宋体" w:cs="宋体"/>
                <w:color w:val="auto"/>
                <w:kern w:val="0"/>
                <w:sz w:val="24"/>
                <w:szCs w:val="22"/>
              </w:rPr>
              <w:t>。</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（四）服务要求</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、乙方接到甲方工作委托后，立即组织相关专业人员开展各项工作，完成该项目报告编制。</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、资料要求：甲方向乙方无偿提供安全现状评价所需的一切资料，包括与原件核对无误的复印件，并保证所提供资料的真实、可靠和有效。</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、整改建议处理：经实地调查，结合甲方提供的资料进行综合分析后，对不符合国家安全标准的事项，乙方将负责任地提出整改建议，甲方应积极采取措施进行整改，以求符合评价标准。</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、报告要求：乙方在授权范围内，按时为甲方提交规范的6份安全现状评价报告。</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、资料管理：乙方应当妥善保管自行收集的或甲方提供的资料。如属借阅，提交评价报告时一并归还甲方。</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二、甲、乙双方义务与责任※</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（一）甲方责任和义务：</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1.</w:t>
            </w:r>
            <w:r>
              <w:rPr>
                <w:rFonts w:hint="eastAsia" w:ascii="宋体" w:hAnsi="宋体" w:cs="宋体"/>
                <w:color w:val="auto"/>
                <w:sz w:val="24"/>
                <w:szCs w:val="22"/>
                <w:lang w:val="zh-CN" w:eastAsia="zh-CN"/>
              </w:rPr>
              <w:t>甲方有权对乙方提交的“报告”进行审查并提出反馈意见。</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2.</w:t>
            </w:r>
            <w:r>
              <w:rPr>
                <w:rFonts w:hint="eastAsia" w:ascii="宋体" w:hAnsi="宋体" w:cs="宋体"/>
                <w:color w:val="auto"/>
                <w:sz w:val="24"/>
                <w:szCs w:val="22"/>
                <w:lang w:val="zh-CN" w:eastAsia="zh-CN"/>
              </w:rPr>
              <w:t>甲方应为乙方现场工作提供便利。</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lang w:val="en-US" w:eastAsia="zh-CN"/>
              </w:rPr>
              <w:t>3.</w:t>
            </w:r>
            <w:r>
              <w:rPr>
                <w:rFonts w:hint="eastAsia" w:ascii="宋体" w:hAnsi="宋体" w:cs="宋体"/>
                <w:color w:val="auto"/>
                <w:sz w:val="24"/>
                <w:szCs w:val="22"/>
                <w:lang w:val="zh-CN" w:eastAsia="zh-CN"/>
              </w:rPr>
              <w:t>当乙方按合同约定完成工作任务后，甲方应按合同约定向乙方支付合同价款</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（二）乙方责任和义务：</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1.</w:t>
            </w:r>
            <w:r>
              <w:rPr>
                <w:rFonts w:hint="eastAsia" w:ascii="宋体" w:hAnsi="宋体" w:cs="宋体"/>
                <w:color w:val="auto"/>
                <w:sz w:val="24"/>
                <w:szCs w:val="22"/>
                <w:lang w:val="zh-CN" w:eastAsia="zh-CN"/>
              </w:rPr>
              <w:t>乙方按照合同要求编制“报告”并按时提交，所编制的技术文件应符合国家及相关行业的规定，乙方对其深度和可靠性负责。</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2.</w:t>
            </w:r>
            <w:r>
              <w:rPr>
                <w:rFonts w:hint="eastAsia" w:ascii="宋体" w:hAnsi="宋体" w:cs="宋体"/>
                <w:color w:val="auto"/>
                <w:sz w:val="24"/>
                <w:szCs w:val="22"/>
                <w:lang w:val="zh-CN" w:eastAsia="zh-CN"/>
              </w:rPr>
              <w:t>乙方应对“报告”编制机构资质、编写人员资质的有效性负责，对结论负责。</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lang w:val="en-US" w:eastAsia="zh-CN"/>
              </w:rPr>
              <w:t>3.</w:t>
            </w:r>
            <w:r>
              <w:rPr>
                <w:rFonts w:hint="eastAsia" w:ascii="宋体" w:hAnsi="宋体" w:cs="宋体"/>
                <w:color w:val="auto"/>
                <w:sz w:val="24"/>
                <w:szCs w:val="22"/>
                <w:lang w:val="zh-CN" w:eastAsia="zh-CN"/>
              </w:rPr>
              <w:t>负责按照甲方的书面修改意见，对“报告”做不超过合同范围的修改</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4.遵守职业道德。对甲方提供的有关资料和情况保守秘密。</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5.按时向甲方开据正式的符合财务规定的技术服务费发票。</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三、履行期限、地点和方式※</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履行期限：</w:t>
            </w:r>
            <w:r>
              <w:rPr>
                <w:rFonts w:hint="eastAsia" w:ascii="宋体" w:hAnsi="宋体" w:cs="宋体"/>
                <w:color w:val="auto"/>
                <w:sz w:val="24"/>
                <w:szCs w:val="22"/>
                <w:lang w:val="en-US" w:eastAsia="zh-CN"/>
              </w:rPr>
              <w:t>自合同生效之日起45个日历天</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履行地点：</w:t>
            </w:r>
            <w:r>
              <w:rPr>
                <w:rFonts w:hint="eastAsia" w:ascii="宋体" w:hAnsi="宋体" w:cs="宋体"/>
                <w:color w:val="auto"/>
                <w:sz w:val="24"/>
                <w:szCs w:val="22"/>
                <w:u w:val="single"/>
              </w:rPr>
              <w:t>哈密市和翔工贸有限责任公司巴里坤矿区别斯库都克露天煤矿</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履行方式：</w:t>
            </w:r>
            <w:r>
              <w:rPr>
                <w:rFonts w:hint="eastAsia" w:ascii="宋体" w:hAnsi="宋体" w:cs="宋体"/>
                <w:color w:val="auto"/>
                <w:sz w:val="24"/>
                <w:szCs w:val="22"/>
                <w:lang w:val="en-US" w:eastAsia="zh-CN"/>
              </w:rPr>
              <w:t>现场勘查</w:t>
            </w:r>
            <w:r>
              <w:rPr>
                <w:rFonts w:hint="eastAsia" w:ascii="宋体" w:hAnsi="宋体" w:cs="宋体"/>
                <w:color w:val="auto"/>
                <w:sz w:val="24"/>
                <w:szCs w:val="22"/>
              </w:rPr>
              <w:t>、</w:t>
            </w:r>
            <w:r>
              <w:rPr>
                <w:rFonts w:hint="eastAsia" w:ascii="宋体" w:hAnsi="宋体" w:cs="宋体"/>
                <w:color w:val="auto"/>
                <w:sz w:val="24"/>
                <w:szCs w:val="22"/>
                <w:lang w:val="en-US" w:eastAsia="zh-CN"/>
              </w:rPr>
              <w:t>提供安全现状评价报告</w:t>
            </w:r>
            <w:r>
              <w:rPr>
                <w:rFonts w:hint="eastAsia" w:ascii="宋体" w:hAnsi="宋体" w:cs="宋体"/>
                <w:color w:val="auto"/>
                <w:sz w:val="24"/>
                <w:szCs w:val="22"/>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四、验收标准和方式※</w:t>
            </w:r>
          </w:p>
          <w:p>
            <w:pPr>
              <w:snapToGrid w:val="0"/>
              <w:spacing w:line="500" w:lineRule="exact"/>
              <w:ind w:firstLine="480" w:firstLineChars="200"/>
              <w:rPr>
                <w:rFonts w:hint="eastAsia"/>
                <w:color w:val="auto"/>
              </w:rPr>
            </w:pPr>
            <w:r>
              <w:rPr>
                <w:rFonts w:hint="eastAsia" w:ascii="宋体" w:hAnsi="宋体" w:cs="宋体"/>
                <w:color w:val="auto"/>
                <w:sz w:val="24"/>
                <w:szCs w:val="24"/>
                <w:lang w:val="en-US" w:eastAsia="zh-CN"/>
              </w:rPr>
              <w:t>通过报告审核、修改后完成终稿</w:t>
            </w:r>
            <w:r>
              <w:rPr>
                <w:rFonts w:hint="eastAsia" w:ascii="宋体" w:hAnsi="宋体" w:cs="宋体"/>
                <w:color w:val="auto"/>
                <w:sz w:val="24"/>
                <w:szCs w:val="24"/>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五、报酬及其支付方式※</w:t>
            </w:r>
          </w:p>
          <w:p>
            <w:pPr>
              <w:snapToGrid w:val="0"/>
              <w:spacing w:line="500" w:lineRule="exact"/>
              <w:ind w:firstLine="480"/>
              <w:rPr>
                <w:rFonts w:ascii="宋体" w:hAnsi="宋体" w:cs="宋体"/>
                <w:color w:val="auto"/>
                <w:sz w:val="24"/>
                <w:szCs w:val="24"/>
              </w:rPr>
            </w:pPr>
            <w:r>
              <w:rPr>
                <w:rFonts w:hint="eastAsia" w:ascii="宋体" w:hAnsi="宋体" w:cs="宋体"/>
                <w:color w:val="auto"/>
                <w:sz w:val="24"/>
                <w:szCs w:val="24"/>
              </w:rPr>
              <w:t>（一）本项目报酬</w:t>
            </w:r>
          </w:p>
          <w:p>
            <w:pPr>
              <w:snapToGrid w:val="0"/>
              <w:spacing w:line="500" w:lineRule="exact"/>
              <w:ind w:firstLine="480"/>
              <w:rPr>
                <w:rFonts w:hint="eastAsia" w:ascii="宋体" w:hAnsi="宋体"/>
                <w:color w:val="auto"/>
                <w:sz w:val="24"/>
                <w:szCs w:val="24"/>
                <w:lang w:val="zh-CN" w:eastAsia="zh-CN"/>
              </w:rPr>
            </w:pPr>
            <w:r>
              <w:rPr>
                <w:rFonts w:hint="eastAsia" w:ascii="宋体" w:hAnsi="宋体"/>
                <w:color w:val="auto"/>
                <w:sz w:val="24"/>
                <w:szCs w:val="24"/>
                <w:lang w:val="zh-CN" w:eastAsia="zh-CN"/>
              </w:rPr>
              <w:t>本项目评价报告编制费用总额为人民币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zh-CN" w:eastAsia="zh-CN"/>
              </w:rPr>
              <w:t>（¥</w:t>
            </w:r>
            <w:r>
              <w:rPr>
                <w:rFonts w:hint="eastAsia" w:ascii="宋体" w:hAnsi="宋体"/>
                <w:color w:val="auto"/>
                <w:sz w:val="24"/>
                <w:szCs w:val="24"/>
                <w:lang w:val="en-US" w:eastAsia="zh-CN"/>
              </w:rPr>
              <w:t xml:space="preserve">        </w:t>
            </w:r>
            <w:r>
              <w:rPr>
                <w:rFonts w:hint="eastAsia" w:ascii="宋体" w:hAnsi="宋体"/>
                <w:color w:val="auto"/>
                <w:sz w:val="24"/>
                <w:szCs w:val="24"/>
                <w:lang w:val="zh-CN" w:eastAsia="zh-CN"/>
              </w:rPr>
              <w:t>）</w:t>
            </w:r>
          </w:p>
          <w:p>
            <w:pPr>
              <w:snapToGrid w:val="0"/>
              <w:spacing w:line="500" w:lineRule="exact"/>
              <w:ind w:firstLine="480"/>
              <w:rPr>
                <w:rFonts w:hint="eastAsia" w:ascii="宋体" w:hAnsi="宋体" w:cs="宋体"/>
                <w:color w:val="auto"/>
                <w:sz w:val="24"/>
                <w:szCs w:val="24"/>
              </w:rPr>
            </w:pPr>
            <w:r>
              <w:rPr>
                <w:rFonts w:hint="eastAsia" w:ascii="宋体" w:hAnsi="宋体" w:cs="宋体"/>
                <w:color w:val="auto"/>
                <w:sz w:val="24"/>
                <w:szCs w:val="24"/>
              </w:rPr>
              <w:t>(二）支付方式</w:t>
            </w:r>
          </w:p>
          <w:p>
            <w:pPr>
              <w:snapToGrid w:val="0"/>
              <w:spacing w:line="500" w:lineRule="exact"/>
              <w:ind w:firstLine="480"/>
              <w:rPr>
                <w:rFonts w:ascii="宋体" w:hAnsi="宋体" w:cs="宋体"/>
                <w:color w:val="auto"/>
                <w:sz w:val="24"/>
                <w:szCs w:val="24"/>
              </w:rPr>
            </w:pPr>
            <w:r>
              <w:rPr>
                <w:rFonts w:hint="eastAsia" w:ascii="宋体" w:hAnsi="宋体" w:cs="宋体"/>
                <w:color w:val="auto"/>
                <w:sz w:val="24"/>
                <w:szCs w:val="24"/>
                <w:lang w:val="zh-CN" w:eastAsia="zh-CN"/>
              </w:rPr>
              <w:t>合同生效后，乙方</w:t>
            </w:r>
            <w:r>
              <w:rPr>
                <w:rFonts w:hint="eastAsia" w:ascii="宋体" w:hAnsi="宋体" w:cs="宋体"/>
                <w:color w:val="auto"/>
                <w:sz w:val="24"/>
                <w:szCs w:val="24"/>
                <w:lang w:val="en-US" w:eastAsia="zh-CN"/>
              </w:rPr>
              <w:t>向甲方</w:t>
            </w:r>
            <w:r>
              <w:rPr>
                <w:rFonts w:hint="eastAsia" w:ascii="宋体" w:hAnsi="宋体" w:cs="宋体"/>
                <w:color w:val="auto"/>
                <w:sz w:val="24"/>
                <w:szCs w:val="24"/>
                <w:lang w:val="zh-CN" w:eastAsia="zh-CN"/>
              </w:rPr>
              <w:t>提交安全现状评价报告</w:t>
            </w:r>
            <w:r>
              <w:rPr>
                <w:rFonts w:hint="eastAsia" w:ascii="宋体" w:hAnsi="宋体" w:cs="宋体"/>
                <w:color w:val="auto"/>
                <w:sz w:val="24"/>
                <w:szCs w:val="24"/>
                <w:lang w:val="en-US" w:eastAsia="zh-CN"/>
              </w:rPr>
              <w:t>后，</w:t>
            </w:r>
            <w:r>
              <w:rPr>
                <w:rFonts w:hint="eastAsia" w:ascii="宋体" w:hAnsi="宋体" w:cs="宋体"/>
                <w:color w:val="auto"/>
                <w:sz w:val="24"/>
                <w:szCs w:val="24"/>
                <w:lang w:val="zh-CN" w:eastAsia="zh-CN"/>
              </w:rPr>
              <w:t>开具税率为</w:t>
            </w:r>
            <w:r>
              <w:rPr>
                <w:rFonts w:hint="eastAsia" w:ascii="宋体" w:hAnsi="宋体" w:cs="宋体"/>
                <w:color w:val="auto"/>
                <w:sz w:val="24"/>
                <w:szCs w:val="24"/>
                <w:lang w:val="en-US" w:eastAsia="zh-CN"/>
              </w:rPr>
              <w:t>6</w:t>
            </w:r>
            <w:r>
              <w:rPr>
                <w:rFonts w:hint="eastAsia" w:ascii="宋体" w:hAnsi="宋体" w:cs="宋体"/>
                <w:color w:val="auto"/>
                <w:sz w:val="24"/>
                <w:szCs w:val="24"/>
                <w:lang w:val="zh-CN" w:eastAsia="zh-CN"/>
              </w:rPr>
              <w:t>%的技术开发服务费用全额（含税）增值税专用发票，甲方收到发票后</w:t>
            </w:r>
            <w:r>
              <w:rPr>
                <w:rFonts w:hint="eastAsia" w:ascii="宋体" w:hAnsi="宋体" w:cs="宋体"/>
                <w:color w:val="auto"/>
                <w:sz w:val="24"/>
                <w:szCs w:val="24"/>
              </w:rPr>
              <w:t>，一次支付。</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六、违约责任※</w:t>
            </w:r>
          </w:p>
          <w:p>
            <w:pPr>
              <w:snapToGrid w:val="0"/>
              <w:spacing w:line="440" w:lineRule="atLeast"/>
              <w:ind w:firstLine="480" w:firstLineChars="200"/>
              <w:rPr>
                <w:rFonts w:hint="eastAsia"/>
                <w:color w:val="auto"/>
                <w:sz w:val="24"/>
                <w:szCs w:val="22"/>
                <w:lang w:val="zh-CN" w:eastAsia="zh-CN"/>
              </w:rPr>
            </w:pPr>
            <w:r>
              <w:rPr>
                <w:rFonts w:hint="eastAsia"/>
                <w:color w:val="auto"/>
                <w:sz w:val="24"/>
                <w:szCs w:val="22"/>
                <w:lang w:val="zh-CN" w:eastAsia="zh-CN"/>
              </w:rPr>
              <w:t>1.非经双方书面同意，任何一方不得以任何方式单方面停止履行本合同或无正当理由要求解除本合同。任何一方如违反本合同约定，应按照《中华人民共和国民法典》的规定，承担违约责任，除赔偿非违约方因解除合同而遭受的实际损失之外，还应向非违约方支付合同金额的10%的惩罚违约金。</w:t>
            </w:r>
          </w:p>
          <w:p>
            <w:pPr>
              <w:snapToGrid w:val="0"/>
              <w:spacing w:line="440" w:lineRule="atLeast"/>
              <w:ind w:firstLine="480" w:firstLineChars="200"/>
              <w:rPr>
                <w:rFonts w:hint="eastAsia"/>
                <w:color w:val="auto"/>
                <w:sz w:val="24"/>
                <w:szCs w:val="22"/>
                <w:lang w:val="zh-CN" w:eastAsia="zh-CN"/>
              </w:rPr>
            </w:pPr>
            <w:r>
              <w:rPr>
                <w:rFonts w:hint="eastAsia"/>
                <w:color w:val="auto"/>
                <w:sz w:val="24"/>
                <w:szCs w:val="22"/>
                <w:lang w:val="zh-CN" w:eastAsia="zh-CN"/>
              </w:rPr>
              <w:t>2.乙方未能按合同约定时间完成合同任务或者提交的成果未能满足甲方要求，则视乙方违约。乙方每延迟一天，向甲方偿付合同总额的1%的违约金，最高不超过合同总额的30%。</w:t>
            </w:r>
          </w:p>
          <w:p>
            <w:pPr>
              <w:snapToGrid w:val="0"/>
              <w:spacing w:line="440" w:lineRule="atLeast"/>
              <w:ind w:firstLine="480" w:firstLineChars="200"/>
              <w:rPr>
                <w:color w:val="auto"/>
                <w:sz w:val="28"/>
                <w:szCs w:val="28"/>
              </w:rPr>
            </w:pPr>
            <w:r>
              <w:rPr>
                <w:rFonts w:hint="eastAsia"/>
                <w:color w:val="auto"/>
                <w:sz w:val="24"/>
                <w:szCs w:val="22"/>
                <w:lang w:val="zh-CN" w:eastAsia="zh-CN"/>
              </w:rPr>
              <w:t>3.如因甲方原因导致资料未能全部及时提供给乙方，致使乙方不能按合同约定时间交付报告的，则乙方不构成违约，不承担相应责任。</w:t>
            </w:r>
            <w:r>
              <w:rPr>
                <w:rFonts w:hint="eastAsia"/>
                <w:color w:val="auto"/>
                <w:sz w:val="24"/>
                <w:szCs w:val="22"/>
              </w:rPr>
              <w:t>。</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七、解决合同纠纷的方式※</w:t>
            </w:r>
          </w:p>
          <w:p>
            <w:pPr>
              <w:snapToGrid w:val="0"/>
              <w:spacing w:line="440" w:lineRule="atLeast"/>
              <w:rPr>
                <w:rFonts w:ascii="宋体"/>
                <w:color w:val="auto"/>
                <w:sz w:val="24"/>
              </w:rPr>
            </w:pPr>
            <w:r>
              <w:rPr>
                <w:rFonts w:hint="eastAsia" w:ascii="宋体"/>
                <w:color w:val="auto"/>
                <w:sz w:val="24"/>
              </w:rPr>
              <w:t xml:space="preserve">   在履行本合同的过程中发生争议，</w:t>
            </w:r>
            <w:r>
              <w:rPr>
                <w:rFonts w:hint="eastAsia"/>
                <w:color w:val="auto"/>
                <w:sz w:val="24"/>
                <w:szCs w:val="22"/>
              </w:rPr>
              <w:t>双方因履行本合同而发生的争议应本着互相谅解的原则友好协商解决，</w:t>
            </w:r>
            <w:r>
              <w:rPr>
                <w:rFonts w:hint="eastAsia" w:ascii="宋体"/>
                <w:color w:val="auto"/>
                <w:sz w:val="24"/>
              </w:rPr>
              <w:t>双方当事人和解或调解不成，向甲方所在地人民法院起诉。</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八、其它※</w:t>
            </w:r>
          </w:p>
          <w:p>
            <w:pPr>
              <w:snapToGrid w:val="0"/>
              <w:spacing w:line="440" w:lineRule="atLeast"/>
              <w:ind w:firstLine="619" w:firstLineChars="258"/>
              <w:rPr>
                <w:rFonts w:ascii="宋体"/>
                <w:color w:val="auto"/>
                <w:sz w:val="24"/>
              </w:rPr>
            </w:pPr>
            <w:r>
              <w:rPr>
                <w:rFonts w:hint="eastAsia" w:ascii="宋体"/>
                <w:color w:val="auto"/>
                <w:sz w:val="24"/>
              </w:rPr>
              <w:t>（一）其他未尽事宜，双方另行协调解决；</w:t>
            </w:r>
          </w:p>
          <w:p>
            <w:pPr>
              <w:snapToGrid w:val="0"/>
              <w:spacing w:line="440" w:lineRule="atLeast"/>
              <w:ind w:firstLine="619" w:firstLineChars="258"/>
              <w:rPr>
                <w:rFonts w:ascii="宋体"/>
                <w:color w:val="auto"/>
                <w:sz w:val="24"/>
              </w:rPr>
            </w:pPr>
            <w:r>
              <w:rPr>
                <w:rFonts w:hint="eastAsia" w:ascii="宋体"/>
                <w:color w:val="auto"/>
                <w:sz w:val="24"/>
              </w:rPr>
              <w:t>（二）本合同一式</w:t>
            </w:r>
            <w:r>
              <w:rPr>
                <w:rFonts w:hint="eastAsia" w:ascii="宋体"/>
                <w:color w:val="auto"/>
                <w:sz w:val="24"/>
                <w:lang w:val="en-US" w:eastAsia="zh-CN"/>
              </w:rPr>
              <w:t>捌</w:t>
            </w:r>
            <w:r>
              <w:rPr>
                <w:rFonts w:hint="eastAsia" w:ascii="宋体"/>
                <w:color w:val="auto"/>
                <w:sz w:val="24"/>
              </w:rPr>
              <w:t>份，双方各执</w:t>
            </w:r>
            <w:r>
              <w:rPr>
                <w:rFonts w:hint="eastAsia" w:ascii="宋体"/>
                <w:color w:val="auto"/>
                <w:sz w:val="24"/>
                <w:lang w:val="en-US" w:eastAsia="zh-CN"/>
              </w:rPr>
              <w:t>肆</w:t>
            </w:r>
            <w:r>
              <w:rPr>
                <w:rFonts w:hint="eastAsia" w:ascii="宋体"/>
                <w:color w:val="auto"/>
                <w:sz w:val="24"/>
              </w:rPr>
              <w:t>份；</w:t>
            </w:r>
          </w:p>
          <w:p>
            <w:pPr>
              <w:snapToGrid w:val="0"/>
              <w:spacing w:line="440" w:lineRule="atLeast"/>
              <w:ind w:firstLine="619" w:firstLineChars="258"/>
              <w:rPr>
                <w:rFonts w:ascii="宋体"/>
                <w:color w:val="auto"/>
                <w:sz w:val="24"/>
              </w:rPr>
            </w:pPr>
            <w:r>
              <w:rPr>
                <w:rFonts w:hint="eastAsia" w:ascii="宋体"/>
                <w:color w:val="auto"/>
                <w:sz w:val="24"/>
              </w:rPr>
              <w:t>（三）本合同自双方法定代表人</w:t>
            </w:r>
            <w:r>
              <w:rPr>
                <w:rFonts w:ascii="宋体"/>
                <w:color w:val="auto"/>
                <w:sz w:val="24"/>
              </w:rPr>
              <w:t>(</w:t>
            </w:r>
            <w:r>
              <w:rPr>
                <w:rFonts w:hint="eastAsia" w:ascii="宋体"/>
                <w:color w:val="auto"/>
                <w:sz w:val="24"/>
              </w:rPr>
              <w:t>负责人)或其委托代理人签字并加盖合同专用章（无合同专用章加盖公章）后生效。</w:t>
            </w:r>
          </w:p>
          <w:p>
            <w:pPr>
              <w:snapToGrid w:val="0"/>
              <w:spacing w:line="440" w:lineRule="atLeast"/>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653" w:type="dxa"/>
            <w:vMerge w:val="restart"/>
            <w:noWrap/>
            <w:vAlign w:val="center"/>
          </w:tcPr>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委</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托</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方</w:t>
            </w:r>
          </w:p>
          <w:p>
            <w:pPr>
              <w:snapToGrid w:val="0"/>
              <w:spacing w:line="440" w:lineRule="atLeast"/>
              <w:ind w:left="0" w:leftChars="0" w:firstLine="0" w:firstLineChars="0"/>
              <w:jc w:val="center"/>
              <w:rPr>
                <w:rFonts w:hint="default" w:ascii="宋体" w:eastAsia="宋体"/>
                <w:color w:val="auto"/>
                <w:sz w:val="24"/>
                <w:lang w:val="en-US" w:eastAsia="zh-CN"/>
              </w:rPr>
            </w:pPr>
            <w:r>
              <w:rPr>
                <w:rFonts w:hint="eastAsia" w:ascii="宋体"/>
                <w:color w:val="auto"/>
                <w:sz w:val="24"/>
                <w:lang w:val="en-US" w:eastAsia="zh-CN"/>
              </w:rPr>
              <w:t>（甲方）</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单位名称</w:t>
            </w:r>
          </w:p>
        </w:tc>
        <w:tc>
          <w:tcPr>
            <w:tcW w:w="1653"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哈密市和翔工贸有限责任公司</w:t>
            </w:r>
          </w:p>
        </w:tc>
        <w:tc>
          <w:tcPr>
            <w:tcW w:w="1653" w:type="dxa"/>
            <w:noWrap/>
            <w:vAlign w:val="center"/>
          </w:tcPr>
          <w:p>
            <w:pPr>
              <w:adjustRightInd w:val="0"/>
              <w:spacing w:line="300" w:lineRule="exact"/>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负责人/委托代理人</w:t>
            </w:r>
          </w:p>
        </w:tc>
        <w:tc>
          <w:tcPr>
            <w:tcW w:w="1655" w:type="dxa"/>
            <w:noWrap/>
            <w:vAlign w:val="center"/>
          </w:tcPr>
          <w:p>
            <w:pPr>
              <w:adjustRightInd w:val="0"/>
              <w:spacing w:line="300" w:lineRule="exact"/>
              <w:jc w:val="center"/>
              <w:textAlignment w:val="baseline"/>
              <w:rPr>
                <w:rFonts w:hint="eastAsia" w:ascii="宋体" w:hAnsi="宋体" w:eastAsia="宋体" w:cs="Times New Roman"/>
                <w:color w:val="auto"/>
                <w:kern w:val="2"/>
                <w:sz w:val="24"/>
                <w:szCs w:val="21"/>
                <w:lang w:val="en-US" w:eastAsia="zh-CN" w:bidi="ar-SA"/>
              </w:rPr>
            </w:pPr>
            <w:r>
              <w:rPr>
                <w:rFonts w:hint="eastAsia" w:ascii="宋体" w:hAnsi="宋体"/>
                <w:color w:val="auto"/>
                <w:sz w:val="24"/>
                <w:lang w:val="en-US" w:eastAsia="zh-CN"/>
              </w:rPr>
              <w:t>马风虎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详细地址</w:t>
            </w:r>
          </w:p>
        </w:tc>
        <w:tc>
          <w:tcPr>
            <w:tcW w:w="1653" w:type="dxa"/>
            <w:noWrap/>
            <w:vAlign w:val="center"/>
          </w:tcPr>
          <w:p>
            <w:pPr>
              <w:adjustRightInd w:val="0"/>
              <w:spacing w:line="300" w:lineRule="exact"/>
              <w:textAlignment w:val="baseline"/>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哈密市</w:t>
            </w:r>
            <w:r>
              <w:rPr>
                <w:rFonts w:hint="default" w:ascii="宋体" w:hAnsi="宋体" w:eastAsia="宋体"/>
                <w:color w:val="auto"/>
                <w:sz w:val="24"/>
                <w:szCs w:val="24"/>
                <w:lang w:val="en-US" w:eastAsia="zh-CN"/>
              </w:rPr>
              <w:t>巴里坤哈萨克自治县湖滨小区6号别墅</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项目负责人</w:t>
            </w:r>
          </w:p>
        </w:tc>
        <w:tc>
          <w:tcPr>
            <w:tcW w:w="1655" w:type="dxa"/>
            <w:noWrap/>
            <w:vAlign w:val="center"/>
          </w:tcPr>
          <w:p>
            <w:pPr>
              <w:adjustRightInd w:val="0"/>
              <w:spacing w:line="300" w:lineRule="exact"/>
              <w:ind w:firstLine="480" w:firstLineChars="200"/>
              <w:jc w:val="both"/>
              <w:textAlignment w:val="baseline"/>
              <w:rPr>
                <w:rFonts w:hint="eastAsia" w:ascii="宋体" w:hAnsi="宋体" w:eastAsia="宋体" w:cs="Times New Roman"/>
                <w:color w:val="auto"/>
                <w:kern w:val="2"/>
                <w:sz w:val="24"/>
                <w:szCs w:val="21"/>
                <w:lang w:val="en-US" w:eastAsia="zh-CN" w:bidi="ar-SA"/>
              </w:rPr>
            </w:pPr>
            <w:r>
              <w:rPr>
                <w:rFonts w:hint="eastAsia" w:ascii="宋体" w:hAnsi="宋体"/>
                <w:color w:val="auto"/>
                <w:sz w:val="24"/>
                <w:lang w:val="en-US" w:eastAsia="zh-CN"/>
              </w:rPr>
              <w:t>孙卫东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开户银行</w:t>
            </w:r>
          </w:p>
        </w:tc>
        <w:tc>
          <w:tcPr>
            <w:tcW w:w="1653" w:type="dxa"/>
            <w:noWrap/>
            <w:vAlign w:val="center"/>
          </w:tcPr>
          <w:p>
            <w:pPr>
              <w:adjustRightInd w:val="0"/>
              <w:spacing w:line="300" w:lineRule="exact"/>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eastAsia="zh-CN"/>
              </w:rPr>
              <w:t>中国农业银行巴里坤哈萨克自治县东街分理处</w:t>
            </w:r>
          </w:p>
        </w:tc>
        <w:tc>
          <w:tcPr>
            <w:tcW w:w="3308" w:type="dxa"/>
            <w:gridSpan w:val="2"/>
            <w:vMerge w:val="restart"/>
            <w:noWrap/>
          </w:tcPr>
          <w:p>
            <w:pPr>
              <w:adjustRightInd w:val="0"/>
              <w:spacing w:line="300" w:lineRule="exact"/>
              <w:textAlignment w:val="baseline"/>
              <w:rPr>
                <w:rFonts w:hint="eastAsia" w:ascii="宋体" w:hAnsi="宋体" w:eastAsia="宋体"/>
                <w:color w:val="auto"/>
                <w:sz w:val="24"/>
                <w:lang w:val="en-US" w:eastAsia="zh-CN"/>
              </w:rPr>
            </w:pPr>
            <w:r>
              <w:rPr>
                <w:rFonts w:hint="eastAsia" w:ascii="宋体" w:hAnsi="宋体"/>
                <w:color w:val="auto"/>
                <w:sz w:val="24"/>
              </w:rPr>
              <w:t>负责人/委托代理人</w:t>
            </w:r>
            <w:r>
              <w:rPr>
                <w:rFonts w:hint="eastAsia" w:ascii="宋体" w:hAnsi="宋体"/>
                <w:color w:val="auto"/>
                <w:sz w:val="24"/>
                <w:lang w:val="en-US" w:eastAsia="zh-CN"/>
              </w:rPr>
              <w:t>签字</w:t>
            </w: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r>
              <w:rPr>
                <w:rFonts w:hint="eastAsia" w:ascii="宋体" w:hAnsi="宋体"/>
                <w:color w:val="auto"/>
                <w:sz w:val="24"/>
              </w:rPr>
              <w:t>（单位盖章）</w:t>
            </w:r>
          </w:p>
          <w:p>
            <w:pPr>
              <w:snapToGrid w:val="0"/>
              <w:spacing w:line="440" w:lineRule="atLeast"/>
              <w:ind w:firstLine="1200" w:firstLineChars="500"/>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帐    号</w:t>
            </w:r>
          </w:p>
        </w:tc>
        <w:tc>
          <w:tcPr>
            <w:tcW w:w="1653" w:type="dxa"/>
            <w:noWrap/>
            <w:vAlign w:val="center"/>
          </w:tcPr>
          <w:p>
            <w:pPr>
              <w:adjustRightInd w:val="0"/>
              <w:spacing w:line="300" w:lineRule="exact"/>
              <w:jc w:val="center"/>
              <w:textAlignment w:val="baseline"/>
              <w:rPr>
                <w:rFonts w:hint="default" w:ascii="Times New Roman" w:hAnsi="Times New Roman" w:eastAsia="宋体" w:cs="Times New Roman"/>
                <w:color w:val="auto"/>
                <w:kern w:val="2"/>
                <w:sz w:val="24"/>
                <w:szCs w:val="24"/>
                <w:lang w:val="en-US" w:eastAsia="zh-CN" w:bidi="ar-SA"/>
              </w:rPr>
            </w:pPr>
            <w:r>
              <w:rPr>
                <w:rFonts w:hint="default" w:eastAsia="宋体"/>
                <w:b w:val="0"/>
                <w:bCs w:val="0"/>
                <w:color w:val="auto"/>
                <w:sz w:val="24"/>
                <w:szCs w:val="24"/>
                <w:lang w:val="en-US" w:eastAsia="zh-CN"/>
              </w:rPr>
              <w:t>30-289201040002681</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电    话</w:t>
            </w:r>
          </w:p>
        </w:tc>
        <w:tc>
          <w:tcPr>
            <w:tcW w:w="1653"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4"/>
                <w:lang w:val="en-US" w:eastAsia="zh-CN" w:bidi="ar-SA"/>
              </w:rPr>
            </w:pPr>
            <w:r>
              <w:rPr>
                <w:rFonts w:hint="default" w:ascii="Times New Roman" w:hAnsi="Times New Roman" w:eastAsia="宋体" w:cs="Times New Roman"/>
                <w:b w:val="0"/>
                <w:bCs w:val="0"/>
                <w:color w:val="auto"/>
                <w:sz w:val="24"/>
                <w:szCs w:val="24"/>
                <w:lang w:val="en-US" w:eastAsia="zh-CN"/>
              </w:rPr>
              <w:t>0902-6842315</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restart"/>
            <w:noWrap/>
            <w:vAlign w:val="center"/>
          </w:tcPr>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受</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托</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方</w:t>
            </w:r>
          </w:p>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color w:val="auto"/>
                <w:sz w:val="24"/>
                <w:lang w:val="en-US" w:eastAsia="zh-CN"/>
              </w:rPr>
              <w:t>（乙方）</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单位名称</w:t>
            </w:r>
          </w:p>
        </w:tc>
        <w:tc>
          <w:tcPr>
            <w:tcW w:w="1653" w:type="dxa"/>
            <w:noWrap/>
          </w:tcPr>
          <w:p>
            <w:pPr>
              <w:snapToGrid w:val="0"/>
              <w:spacing w:line="240" w:lineRule="auto"/>
              <w:rPr>
                <w:rFonts w:hint="default" w:ascii="宋体" w:eastAsia="宋体"/>
                <w:color w:val="auto"/>
                <w:sz w:val="24"/>
                <w:szCs w:val="24"/>
                <w:lang w:val="en-US" w:eastAsia="zh-CN"/>
              </w:rPr>
            </w:pPr>
            <w:r>
              <w:rPr>
                <w:rFonts w:hint="eastAsia" w:ascii="宋体"/>
                <w:color w:val="auto"/>
                <w:sz w:val="24"/>
                <w:szCs w:val="24"/>
                <w:lang w:val="en-US" w:eastAsia="zh-CN"/>
              </w:rPr>
              <w:t>中皓安环科技有限公司</w:t>
            </w:r>
          </w:p>
        </w:tc>
        <w:tc>
          <w:tcPr>
            <w:tcW w:w="1653" w:type="dxa"/>
            <w:noWrap/>
            <w:vAlign w:val="center"/>
          </w:tcPr>
          <w:p>
            <w:pPr>
              <w:adjustRightInd w:val="0"/>
              <w:spacing w:line="300" w:lineRule="exact"/>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负责人/委托代理人</w:t>
            </w:r>
          </w:p>
        </w:tc>
        <w:tc>
          <w:tcPr>
            <w:tcW w:w="1655"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1"/>
                <w:lang w:val="en-US" w:eastAsia="zh-CN" w:bidi="ar-SA"/>
              </w:rPr>
            </w:pPr>
            <w:r>
              <w:rPr>
                <w:rFonts w:hint="eastAsia" w:ascii="宋体" w:hAnsi="宋体" w:cs="Times New Roman"/>
                <w:color w:val="auto"/>
                <w:kern w:val="2"/>
                <w:sz w:val="24"/>
                <w:szCs w:val="21"/>
                <w:lang w:val="en-US" w:eastAsia="zh-CN" w:bidi="ar-SA"/>
              </w:rPr>
              <w:t>陈酉鸣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详细地址</w:t>
            </w:r>
          </w:p>
        </w:tc>
        <w:tc>
          <w:tcPr>
            <w:tcW w:w="1653" w:type="dxa"/>
            <w:noWrap/>
          </w:tcPr>
          <w:p>
            <w:pPr>
              <w:snapToGrid w:val="0"/>
              <w:spacing w:line="240" w:lineRule="auto"/>
              <w:rPr>
                <w:rFonts w:ascii="宋体"/>
                <w:color w:val="auto"/>
                <w:sz w:val="24"/>
                <w:szCs w:val="24"/>
              </w:rPr>
            </w:pPr>
            <w:r>
              <w:rPr>
                <w:rFonts w:hint="eastAsia" w:ascii="宋体"/>
                <w:color w:val="auto"/>
                <w:sz w:val="24"/>
                <w:szCs w:val="24"/>
              </w:rPr>
              <w:t>山西转型综合改革示范区学府产业园区长治路227号高新国际A座2008室</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项目负责人</w:t>
            </w:r>
          </w:p>
        </w:tc>
        <w:tc>
          <w:tcPr>
            <w:tcW w:w="1655" w:type="dxa"/>
            <w:noWrap/>
            <w:vAlign w:val="center"/>
          </w:tcPr>
          <w:p>
            <w:pPr>
              <w:adjustRightInd w:val="0"/>
              <w:spacing w:line="300" w:lineRule="exact"/>
              <w:ind w:firstLine="480" w:firstLineChars="200"/>
              <w:jc w:val="both"/>
              <w:textAlignment w:val="baseline"/>
              <w:rPr>
                <w:rFonts w:hint="default" w:ascii="宋体" w:hAnsi="宋体" w:eastAsia="宋体" w:cs="Times New Roman"/>
                <w:color w:val="auto"/>
                <w:kern w:val="2"/>
                <w:sz w:val="24"/>
                <w:szCs w:val="21"/>
                <w:lang w:val="en-US" w:eastAsia="zh-CN" w:bidi="ar-SA"/>
              </w:rPr>
            </w:pPr>
            <w:r>
              <w:rPr>
                <w:rFonts w:hint="eastAsia" w:ascii="宋体" w:hAnsi="宋体" w:cs="Times New Roman"/>
                <w:color w:val="auto"/>
                <w:kern w:val="2"/>
                <w:sz w:val="24"/>
                <w:szCs w:val="21"/>
                <w:lang w:val="en-US" w:eastAsia="zh-CN" w:bidi="ar-SA"/>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开户银行</w:t>
            </w:r>
          </w:p>
        </w:tc>
        <w:tc>
          <w:tcPr>
            <w:tcW w:w="1653" w:type="dxa"/>
            <w:noWrap/>
          </w:tcPr>
          <w:p>
            <w:pPr>
              <w:snapToGrid w:val="0"/>
              <w:spacing w:line="240" w:lineRule="auto"/>
              <w:rPr>
                <w:rFonts w:ascii="宋体"/>
                <w:color w:val="auto"/>
                <w:sz w:val="24"/>
                <w:szCs w:val="24"/>
              </w:rPr>
            </w:pPr>
            <w:r>
              <w:rPr>
                <w:rFonts w:hint="eastAsia" w:ascii="宋体"/>
                <w:color w:val="auto"/>
                <w:sz w:val="24"/>
                <w:szCs w:val="24"/>
                <w:lang w:val="en-US" w:eastAsia="zh-CN"/>
              </w:rPr>
              <w:t>中国民生银行股份有限公司太原长治路支行</w:t>
            </w:r>
          </w:p>
        </w:tc>
        <w:tc>
          <w:tcPr>
            <w:tcW w:w="3308" w:type="dxa"/>
            <w:gridSpan w:val="2"/>
            <w:vMerge w:val="restart"/>
            <w:noWrap/>
          </w:tcPr>
          <w:p>
            <w:pPr>
              <w:keepNext w:val="0"/>
              <w:keepLines w:val="0"/>
              <w:pageBreakBefore w:val="0"/>
              <w:widowControl w:val="0"/>
              <w:kinsoku/>
              <w:wordWrap/>
              <w:overflowPunct/>
              <w:topLinePunct w:val="0"/>
              <w:autoSpaceDE/>
              <w:autoSpaceDN/>
              <w:bidi w:val="0"/>
              <w:adjustRightInd w:val="0"/>
              <w:snapToGrid/>
              <w:spacing w:before="157" w:beforeLines="50" w:line="300" w:lineRule="exact"/>
              <w:textAlignment w:val="baseline"/>
              <w:rPr>
                <w:rFonts w:hint="eastAsia" w:ascii="宋体" w:hAnsi="宋体" w:eastAsia="宋体"/>
                <w:color w:val="auto"/>
                <w:sz w:val="24"/>
                <w:lang w:val="en-US" w:eastAsia="zh-CN"/>
              </w:rPr>
            </w:pPr>
            <w:r>
              <w:rPr>
                <w:rFonts w:hint="eastAsia" w:ascii="宋体" w:hAnsi="宋体"/>
                <w:color w:val="auto"/>
                <w:sz w:val="24"/>
              </w:rPr>
              <w:t>负责人/委托代理人</w:t>
            </w:r>
            <w:r>
              <w:rPr>
                <w:rFonts w:hint="eastAsia" w:ascii="宋体" w:hAnsi="宋体"/>
                <w:color w:val="auto"/>
                <w:sz w:val="24"/>
                <w:lang w:val="en-US" w:eastAsia="zh-CN"/>
              </w:rPr>
              <w:t>签字</w:t>
            </w: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r>
              <w:rPr>
                <w:rFonts w:hint="eastAsia" w:ascii="宋体" w:hAnsi="宋体"/>
                <w:color w:val="auto"/>
                <w:sz w:val="24"/>
              </w:rPr>
              <w:t>（单位盖章）</w:t>
            </w:r>
          </w:p>
          <w:p>
            <w:pPr>
              <w:keepNext w:val="0"/>
              <w:keepLines w:val="0"/>
              <w:pageBreakBefore w:val="0"/>
              <w:widowControl w:val="0"/>
              <w:kinsoku/>
              <w:wordWrap/>
              <w:overflowPunct/>
              <w:topLinePunct w:val="0"/>
              <w:autoSpaceDE/>
              <w:autoSpaceDN/>
              <w:bidi w:val="0"/>
              <w:adjustRightInd/>
              <w:snapToGrid w:val="0"/>
              <w:spacing w:before="157" w:beforeLines="50" w:line="440" w:lineRule="atLeast"/>
              <w:ind w:firstLine="1200" w:firstLineChars="500"/>
              <w:textAlignment w:val="auto"/>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帐    号</w:t>
            </w:r>
          </w:p>
        </w:tc>
        <w:tc>
          <w:tcPr>
            <w:tcW w:w="1653" w:type="dxa"/>
            <w:noWrap/>
          </w:tcPr>
          <w:p>
            <w:pPr>
              <w:snapToGrid w:val="0"/>
              <w:spacing w:line="440" w:lineRule="atLeast"/>
              <w:rPr>
                <w:rFonts w:ascii="宋体"/>
                <w:color w:val="auto"/>
                <w:sz w:val="24"/>
                <w:szCs w:val="24"/>
              </w:rPr>
            </w:pPr>
            <w:r>
              <w:rPr>
                <w:rFonts w:hint="eastAsia" w:ascii="宋体"/>
                <w:color w:val="auto"/>
                <w:sz w:val="24"/>
                <w:szCs w:val="24"/>
                <w:lang w:val="en-US" w:eastAsia="zh-CN"/>
              </w:rPr>
              <w:t>632217871</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电    话</w:t>
            </w:r>
          </w:p>
        </w:tc>
        <w:tc>
          <w:tcPr>
            <w:tcW w:w="1653" w:type="dxa"/>
            <w:noWrap/>
          </w:tcPr>
          <w:p>
            <w:pPr>
              <w:snapToGrid w:val="0"/>
              <w:spacing w:line="440" w:lineRule="atLeast"/>
              <w:rPr>
                <w:rFonts w:hint="default" w:ascii="宋体" w:eastAsia="宋体"/>
                <w:color w:val="auto"/>
                <w:sz w:val="24"/>
                <w:lang w:val="en-US" w:eastAsia="zh-CN"/>
              </w:rPr>
            </w:pPr>
            <w:r>
              <w:rPr>
                <w:rFonts w:hint="eastAsia" w:ascii="宋体"/>
                <w:color w:val="auto"/>
                <w:sz w:val="24"/>
                <w:lang w:val="en-US" w:eastAsia="zh-CN"/>
              </w:rPr>
              <w:t>18636179996</w:t>
            </w:r>
          </w:p>
        </w:tc>
        <w:tc>
          <w:tcPr>
            <w:tcW w:w="3308" w:type="dxa"/>
            <w:gridSpan w:val="2"/>
            <w:vMerge w:val="continue"/>
            <w:noWrap/>
          </w:tcPr>
          <w:p>
            <w:pPr>
              <w:snapToGrid w:val="0"/>
              <w:spacing w:line="440" w:lineRule="atLeast"/>
              <w:rPr>
                <w:rFonts w:ascii="宋体"/>
                <w:color w:val="auto"/>
                <w:sz w:val="24"/>
              </w:rPr>
            </w:pPr>
          </w:p>
        </w:tc>
      </w:tr>
      <w:bookmarkEnd w:id="76"/>
      <w:bookmarkEnd w:id="77"/>
      <w:bookmarkEnd w:id="78"/>
      <w:bookmarkEnd w:id="79"/>
      <w:bookmarkEnd w:id="80"/>
      <w:bookmarkEnd w:id="81"/>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zI0MTFjY2RhY2ZlM2RjZjJmM2NkMGNkYTBjZjAifQ=="/>
  </w:docVars>
  <w:rsids>
    <w:rsidRoot w:val="00000000"/>
    <w:rsid w:val="03B61431"/>
    <w:rsid w:val="071500B5"/>
    <w:rsid w:val="148450CF"/>
    <w:rsid w:val="18C64FE3"/>
    <w:rsid w:val="1B915CD9"/>
    <w:rsid w:val="232A7934"/>
    <w:rsid w:val="24855183"/>
    <w:rsid w:val="2CB57C59"/>
    <w:rsid w:val="2E0A72C8"/>
    <w:rsid w:val="35355EE7"/>
    <w:rsid w:val="3AED3BD1"/>
    <w:rsid w:val="3DCB586E"/>
    <w:rsid w:val="48270D4B"/>
    <w:rsid w:val="48533871"/>
    <w:rsid w:val="4AF43EB8"/>
    <w:rsid w:val="4DE4543B"/>
    <w:rsid w:val="57951D30"/>
    <w:rsid w:val="5EB83A4F"/>
    <w:rsid w:val="61571947"/>
    <w:rsid w:val="619743F4"/>
    <w:rsid w:val="650350BB"/>
    <w:rsid w:val="715C11B6"/>
    <w:rsid w:val="7268202C"/>
    <w:rsid w:val="7B0E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hint="eastAsia"/>
      <w:szCs w:val="20"/>
    </w:rPr>
  </w:style>
  <w:style w:type="paragraph" w:styleId="4">
    <w:name w:val="Body Text"/>
    <w:basedOn w:val="1"/>
    <w:autoRedefine/>
    <w:qFormat/>
    <w:uiPriority w:val="99"/>
    <w:pPr>
      <w:spacing w:before="93"/>
      <w:ind w:left="113"/>
    </w:pPr>
    <w:rPr>
      <w:sz w:val="21"/>
      <w:szCs w:val="21"/>
    </w:rPr>
  </w:style>
  <w:style w:type="paragraph" w:styleId="5">
    <w:name w:val="Plain Text"/>
    <w:basedOn w:val="1"/>
    <w:autoRedefine/>
    <w:qFormat/>
    <w:uiPriority w:val="0"/>
    <w:rPr>
      <w:rFonts w:ascii="宋体" w:hAnsi="Courier New"/>
    </w:rPr>
  </w:style>
  <w:style w:type="paragraph" w:styleId="6">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2022-12-17T13:06:00Z</dcterms:created>
  <dc:creator>w'c'g</dc:creator>
  <cp:lastModifiedBy>嘿疯餒</cp:lastModifiedBy>
  <dcterms:modified xsi:type="dcterms:W3CDTF">2024-02-05T03:18:59Z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FBA7AAA32E6B4FF5AFFB679E27746FAA</vt:lpwstr>
  </property>
</Properties>
</file>